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center"/>
        <w:rPr>
          <w:rFonts w:ascii="標楷體" w:hAnsi="標楷體" w:eastAsia="標楷體" w:cs="DFKaiShu-SB-Estd-BF;Arial Unicode MS"/>
          <w:b/>
          <w:bCs/>
          <w:kern w:val="0"/>
          <w:sz w:val="32"/>
          <w:szCs w:val="32"/>
        </w:rPr>
      </w:pPr>
      <w:r>
        <w:rPr>
          <w:rFonts w:ascii="標楷體" w:hAnsi="標楷體" w:cs="DFKaiShu-SB-Estd-BF;Arial Unicode MS" w:eastAsia="標楷體"/>
          <w:b/>
          <w:bCs/>
          <w:kern w:val="0"/>
          <w:sz w:val="32"/>
          <w:szCs w:val="32"/>
        </w:rPr>
        <w:t>亞洲大學半導體學士學位學程課程與教學委員會設置要點</w:t>
      </w:r>
    </w:p>
    <w:p>
      <w:pPr>
        <w:pStyle w:val="Normal"/>
        <w:autoSpaceDE w:val="false"/>
        <w:jc w:val="right"/>
        <w:rPr>
          <w:rFonts w:ascii="標楷體" w:hAnsi="標楷體" w:eastAsia="標楷體" w:cs="TimesNewRomanPSMT;Times New Roman"/>
          <w:kern w:val="0"/>
          <w:sz w:val="14"/>
          <w:szCs w:val="14"/>
        </w:rPr>
      </w:pPr>
      <w:r>
        <w:rPr>
          <w:rFonts w:ascii="標楷體" w:hAnsi="標楷體" w:cs="TimesNewRomanPSMT;Times New Roman" w:eastAsia="標楷體"/>
          <w:kern w:val="0"/>
          <w:sz w:val="14"/>
          <w:szCs w:val="14"/>
        </w:rPr>
        <w:t>民國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11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5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年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月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23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日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114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學年度第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>2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 xml:space="preserve">學期第 </w:t>
      </w:r>
      <w:r>
        <w:rPr>
          <w:rFonts w:eastAsia="標楷體" w:cs="TimesNewRomanPSMT;Times New Roman" w:ascii="標楷體" w:hAnsi="標楷體"/>
          <w:kern w:val="0"/>
          <w:sz w:val="14"/>
          <w:szCs w:val="14"/>
        </w:rPr>
        <w:t xml:space="preserve">1 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次會議學程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事</w:t>
      </w:r>
      <w:r>
        <w:rPr>
          <w:rFonts w:ascii="標楷體" w:hAnsi="標楷體" w:cs="TimesNewRomanPSMT;Times New Roman" w:eastAsia="標楷體"/>
          <w:kern w:val="0"/>
          <w:sz w:val="14"/>
          <w:szCs w:val="14"/>
        </w:rPr>
        <w:t>務會議通過</w:t>
      </w:r>
    </w:p>
    <w:p>
      <w:pPr>
        <w:pStyle w:val="Web"/>
        <w:widowControl w:val="false"/>
        <w:spacing w:before="0" w:after="0"/>
        <w:rPr>
          <w:rFonts w:ascii="Times New Roman" w:hAnsi="Times New Roman" w:eastAsia="標楷體" w:cs="Times New Roman"/>
          <w:kern w:val="2"/>
        </w:rPr>
      </w:pPr>
      <w:r>
        <w:rPr>
          <w:rFonts w:eastAsia="標楷體" w:cs="Times New Roman" w:ascii="Times New Roman" w:hAnsi="Times New Roman"/>
          <w:kern w:val="2"/>
        </w:rPr>
        <w:t xml:space="preserve">1. </w:t>
      </w:r>
      <w:r>
        <w:rPr>
          <w:rFonts w:ascii="Times New Roman" w:hAnsi="Times New Roman" w:cs="Times New Roman" w:eastAsia="標楷體"/>
          <w:kern w:val="2"/>
        </w:rPr>
        <w:t>本要點依據本學程組織規程訂定。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rPr>
          <w:rFonts w:ascii="Times New Roman" w:hAnsi="Times New Roman" w:eastAsia="標楷體" w:cs="Times New Roman"/>
          <w:kern w:val="2"/>
        </w:rPr>
      </w:pPr>
      <w:r>
        <w:rPr>
          <w:rFonts w:eastAsia="標楷體" w:cs="Times New Roman" w:ascii="Times New Roman" w:hAnsi="Times New Roman"/>
          <w:kern w:val="2"/>
        </w:rPr>
        <w:t xml:space="preserve">2. </w:t>
      </w:r>
      <w:r>
        <w:rPr>
          <w:rFonts w:ascii="Times New Roman" w:hAnsi="Times New Roman" w:cs="Times New Roman" w:eastAsia="標楷體"/>
          <w:kern w:val="2"/>
        </w:rPr>
        <w:t>課程與教學委員會</w:t>
      </w:r>
      <w:r>
        <w:rPr>
          <w:rFonts w:eastAsia="標楷體" w:cs="Times New Roman" w:ascii="Times New Roman" w:hAnsi="Times New Roman"/>
          <w:kern w:val="2"/>
        </w:rPr>
        <w:t>(</w:t>
      </w:r>
      <w:r>
        <w:rPr>
          <w:rFonts w:ascii="Times New Roman" w:hAnsi="Times New Roman" w:cs="Times New Roman" w:eastAsia="標楷體"/>
          <w:kern w:val="2"/>
        </w:rPr>
        <w:t>以下簡稱本委員會</w:t>
      </w:r>
      <w:r>
        <w:rPr>
          <w:rFonts w:eastAsia="標楷體" w:cs="Times New Roman" w:ascii="Times New Roman" w:hAnsi="Times New Roman"/>
          <w:kern w:val="2"/>
        </w:rPr>
        <w:t>)</w:t>
      </w:r>
      <w:r>
        <w:rPr>
          <w:rFonts w:ascii="Times New Roman" w:hAnsi="Times New Roman" w:cs="Times New Roman" w:eastAsia="標楷體"/>
          <w:kern w:val="2"/>
        </w:rPr>
        <w:t>置召集人一人，由學程主任聘請職級相當之教師或相關專業人員擔任之，置委員若干人，任期一年，得連任。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rPr>
          <w:rFonts w:ascii="Times New Roman" w:hAnsi="Times New Roman" w:eastAsia="標楷體" w:cs="Times New Roman"/>
          <w:kern w:val="2"/>
        </w:rPr>
      </w:pPr>
      <w:r>
        <w:rPr>
          <w:rFonts w:eastAsia="標楷體" w:cs="Times New Roman" w:ascii="Times New Roman" w:hAnsi="Times New Roman"/>
          <w:kern w:val="2"/>
        </w:rPr>
        <w:t xml:space="preserve">3. </w:t>
      </w:r>
      <w:r>
        <w:rPr>
          <w:rFonts w:ascii="Times New Roman" w:hAnsi="Times New Roman" w:cs="Times New Roman" w:eastAsia="標楷體"/>
          <w:kern w:val="2"/>
        </w:rPr>
        <w:t>本委員會任務如下：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ind w:left="480" w:right="0"/>
        <w:rPr>
          <w:rFonts w:ascii="Times New Roman" w:hAnsi="Times New Roman" w:eastAsia="標楷體" w:cs="Times New Roman"/>
          <w:kern w:val="2"/>
        </w:rPr>
      </w:pPr>
      <w:r>
        <w:rPr>
          <w:rFonts w:ascii="Times New Roman" w:hAnsi="Times New Roman" w:cs="Times New Roman" w:eastAsia="標楷體"/>
          <w:kern w:val="2"/>
        </w:rPr>
        <w:t>一、研擬及規劃本學程之課程規劃相關事項、任課教師安排與助教分配事宜。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ind w:left="480" w:right="0"/>
        <w:rPr>
          <w:rFonts w:ascii="Times New Roman" w:hAnsi="Times New Roman" w:eastAsia="標楷體" w:cs="Times New Roman"/>
          <w:kern w:val="2"/>
        </w:rPr>
      </w:pPr>
      <w:r>
        <w:rPr>
          <w:rFonts w:ascii="Times New Roman" w:hAnsi="Times New Roman" w:cs="Times New Roman" w:eastAsia="標楷體"/>
          <w:kern w:val="2"/>
        </w:rPr>
        <w:t>二、規劃、審核新課程。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ind w:left="480" w:right="0"/>
        <w:rPr>
          <w:rFonts w:ascii="Times New Roman" w:hAnsi="Times New Roman" w:eastAsia="標楷體" w:cs="Times New Roman"/>
          <w:kern w:val="2"/>
        </w:rPr>
      </w:pPr>
      <w:r>
        <w:rPr>
          <w:rFonts w:ascii="Times New Roman" w:hAnsi="Times New Roman" w:cs="Times New Roman" w:eastAsia="標楷體"/>
          <w:kern w:val="2"/>
        </w:rPr>
        <w:t>三、創新教學法教案與系上課程大綱審查。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ind w:left="480" w:right="0"/>
        <w:rPr>
          <w:rFonts w:ascii="Times New Roman" w:hAnsi="Times New Roman" w:eastAsia="標楷體" w:cs="Times New Roman"/>
          <w:kern w:val="2"/>
        </w:rPr>
      </w:pPr>
      <w:r>
        <w:rPr>
          <w:rFonts w:ascii="Times New Roman" w:hAnsi="Times New Roman" w:cs="Times New Roman" w:eastAsia="標楷體"/>
          <w:kern w:val="2"/>
        </w:rPr>
        <w:t>四、擬訂各級學生修業規則。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ind w:left="480" w:right="0"/>
        <w:rPr>
          <w:rFonts w:ascii="Times New Roman" w:hAnsi="Times New Roman" w:eastAsia="標楷體" w:cs="Times New Roman"/>
          <w:kern w:val="2"/>
        </w:rPr>
      </w:pPr>
      <w:r>
        <w:rPr>
          <w:rFonts w:ascii="Times New Roman" w:hAnsi="Times New Roman" w:cs="Times New Roman" w:eastAsia="標楷體"/>
          <w:kern w:val="2"/>
        </w:rPr>
        <w:t>五、擬訂教師開課原則，提升教學品質。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ind w:left="480" w:right="0"/>
        <w:rPr>
          <w:rFonts w:ascii="Times New Roman" w:hAnsi="Times New Roman" w:eastAsia="標楷體" w:cs="Times New Roman"/>
          <w:kern w:val="2"/>
        </w:rPr>
      </w:pPr>
      <w:r>
        <w:rPr>
          <w:rFonts w:ascii="Times New Roman" w:hAnsi="Times New Roman" w:cs="Times New Roman" w:eastAsia="標楷體"/>
          <w:kern w:val="2"/>
        </w:rPr>
        <w:t>六、審查轉學生學分抵免。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ind w:left="480" w:right="0"/>
        <w:rPr>
          <w:rFonts w:ascii="Times New Roman" w:hAnsi="Times New Roman" w:eastAsia="標楷體" w:cs="Times New Roman"/>
          <w:kern w:val="2"/>
        </w:rPr>
      </w:pPr>
      <w:r>
        <w:rPr>
          <w:rFonts w:ascii="Times New Roman" w:hAnsi="Times New Roman" w:cs="Times New Roman" w:eastAsia="標楷體"/>
          <w:kern w:val="2"/>
        </w:rPr>
        <w:t>七、研擬及規劃本系之獎學金與審查學生申請獎學金等相關業務。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ind w:left="480" w:right="0"/>
        <w:rPr>
          <w:rFonts w:ascii="Times New Roman" w:hAnsi="Times New Roman" w:eastAsia="標楷體" w:cs="Times New Roman"/>
          <w:kern w:val="2"/>
        </w:rPr>
      </w:pPr>
      <w:r>
        <w:rPr>
          <w:rFonts w:ascii="Times New Roman" w:hAnsi="Times New Roman" w:cs="Times New Roman" w:eastAsia="標楷體"/>
          <w:kern w:val="2"/>
        </w:rPr>
        <w:t>八、辦理學程事務會議決議交辦事項。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rPr>
          <w:rFonts w:ascii="Times New Roman" w:hAnsi="Times New Roman" w:eastAsia="標楷體" w:cs="Times New Roman"/>
          <w:kern w:val="2"/>
        </w:rPr>
      </w:pPr>
      <w:r>
        <w:rPr>
          <w:rFonts w:eastAsia="標楷體" w:cs="Times New Roman" w:ascii="Times New Roman" w:hAnsi="Times New Roman"/>
          <w:kern w:val="2"/>
        </w:rPr>
        <w:t xml:space="preserve">4. </w:t>
      </w:r>
      <w:r>
        <w:rPr>
          <w:rFonts w:ascii="Times New Roman" w:hAnsi="Times New Roman" w:cs="Times New Roman" w:eastAsia="標楷體"/>
          <w:kern w:val="2"/>
        </w:rPr>
        <w:t>本委員會得視需求邀請學界、業界、畢業生與學生代表出席開會。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</w:p>
    <w:p>
      <w:pPr>
        <w:pStyle w:val="Web"/>
        <w:widowControl w:val="false"/>
        <w:spacing w:before="0" w:after="0"/>
        <w:rPr/>
      </w:pPr>
      <w:r>
        <w:rPr>
          <w:rFonts w:eastAsia="標楷體" w:cs="Times New Roman" w:ascii="Times New Roman" w:hAnsi="Times New Roman"/>
          <w:kern w:val="2"/>
        </w:rPr>
        <w:t xml:space="preserve">5. </w:t>
      </w:r>
      <w:r>
        <w:rPr>
          <w:rFonts w:ascii="Times New Roman" w:hAnsi="Times New Roman" w:cs="Times New Roman" w:eastAsia="標楷體"/>
          <w:kern w:val="2"/>
        </w:rPr>
        <w:t>本委員會開會之決議應有二分之一以上委員出席，以出席委員過半數同意行之。</w:t>
      </w:r>
      <w:r>
        <w:rPr>
          <w:rFonts w:ascii="Times New Roman" w:hAnsi="Times New Roman" w:cs="Times New Roman" w:eastAsia="Times New Roman"/>
          <w:kern w:val="2"/>
        </w:rPr>
        <w:t xml:space="preserve"> </w:t>
      </w:r>
      <w:r>
        <w:rPr>
          <w:rFonts w:eastAsia="標楷體" w:cs="Times New Roman" w:ascii="Times New Roman" w:hAnsi="Times New Roman"/>
          <w:kern w:val="2"/>
        </w:rPr>
        <w:t xml:space="preserve">6. </w:t>
      </w:r>
      <w:r>
        <w:rPr>
          <w:rFonts w:ascii="Times New Roman" w:hAnsi="Times New Roman" w:cs="Times New Roman" w:eastAsia="標楷體"/>
          <w:kern w:val="2"/>
        </w:rPr>
        <w:t>本委員會設置要點經</w:t>
      </w:r>
      <w:r>
        <w:rPr>
          <w:rFonts w:ascii="Times New Roman" w:hAnsi="Times New Roman" w:cs="Times New Roman" w:eastAsia="標楷體"/>
          <w:kern w:val="2"/>
        </w:rPr>
        <w:t>學程事務會議通過後實施，修正時亦同。</w:t>
      </w:r>
    </w:p>
    <w:sectPr>
      <w:footerReference w:type="default" r:id="rId2"/>
      <w:type w:val="nextPage"/>
      <w:pgSz w:w="11906" w:h="16838"/>
      <w:pgMar w:left="1797" w:right="1644" w:gutter="0" w:header="0" w:top="1440" w:footer="992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 Unicode MS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09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480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napToGrid w:val="false"/>
      <w:spacing w:lineRule="exact" w:line="380" w:before="0" w:after="72"/>
      <w:jc w:val="both"/>
      <w:outlineLvl w:val="1"/>
    </w:pPr>
    <w:rPr>
      <w:rFonts w:ascii="標楷體" w:hAnsi="標楷體" w:eastAsia="標楷體"/>
      <w:b/>
      <w:bCs/>
      <w:sz w:val="4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Style13">
    <w:name w:val="預設段落字型"/>
    <w:qFormat/>
    <w:rPr/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4">
    <w:name w:val="項目符號"/>
    <w:basedOn w:val="Normal"/>
    <w:qFormat/>
    <w:pPr>
      <w:numPr>
        <w:ilvl w:val="0"/>
        <w:numId w:val="2"/>
      </w:numPr>
      <w:tabs>
        <w:tab w:val="clear" w:pos="480"/>
        <w:tab w:val="left" w:pos="1095" w:leader="none"/>
      </w:tabs>
      <w:snapToGrid w:val="false"/>
      <w:spacing w:lineRule="atLeast" w:line="240"/>
      <w:ind w:hanging="450" w:left="1095" w:right="0"/>
    </w:pPr>
    <w:rPr>
      <w:rFonts w:eastAsia="標楷體"/>
      <w:b/>
    </w:rPr>
  </w:style>
  <w:style w:type="paragraph" w:styleId="Web">
    <w:name w:val="內文 (Web)"/>
    <w:basedOn w:val="Normal"/>
    <w:qFormat/>
    <w:pPr>
      <w:widowControl/>
      <w:spacing w:before="100" w:after="100"/>
    </w:pPr>
    <w:rPr>
      <w:rFonts w:ascii="Arial Unicode MS" w:hAnsi="Arial Unicode MS" w:eastAsia="Arial Unicode MS" w:cs="Arial Unicode MS"/>
      <w:kern w:val="0"/>
    </w:rPr>
  </w:style>
  <w:style w:type="paragraph" w:styleId="BodyTextIndent">
    <w:name w:val="Body Text Indent"/>
    <w:basedOn w:val="Normal"/>
    <w:pPr>
      <w:snapToGrid w:val="false"/>
      <w:ind w:hanging="0" w:left="2522" w:right="0"/>
    </w:pPr>
    <w:rPr>
      <w:rFonts w:ascii="標楷體" w:hAnsi="標楷體" w:eastAsia="標楷體"/>
      <w:sz w:val="28"/>
    </w:rPr>
  </w:style>
  <w:style w:type="paragraph" w:styleId="2">
    <w:name w:val="本文縮排 2"/>
    <w:basedOn w:val="Normal"/>
    <w:qFormat/>
    <w:pPr>
      <w:spacing w:lineRule="auto" w:line="360"/>
      <w:ind w:hanging="0" w:left="1920" w:right="0"/>
    </w:pPr>
    <w:rPr>
      <w:rFonts w:eastAsia="標楷體"/>
      <w:sz w:val="28"/>
      <w:szCs w:val="20"/>
    </w:rPr>
  </w:style>
  <w:style w:type="paragraph" w:styleId="3">
    <w:name w:val="本文縮排 3"/>
    <w:basedOn w:val="Normal"/>
    <w:qFormat/>
    <w:pPr>
      <w:spacing w:lineRule="auto" w:line="360"/>
      <w:ind w:firstLine="480" w:left="1440" w:right="0"/>
    </w:pPr>
    <w:rPr>
      <w:rFonts w:eastAsia="標楷體"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rFonts w:eastAsia="標楷體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2026-05-04T01:44:00Z</dcterms:created>
  <dc:creator>thmu</dc:creator>
  <dc:description/>
  <cp:keywords/>
  <dc:language>en-US</dc:language>
  <cp:lastModifiedBy>人工智慧學院</cp:lastModifiedBy>
  <cp:lastPrinted>2002-12-10T09:01:00Z</cp:lastPrinted>
  <dcterms:modified xsi:type="dcterms:W3CDTF">2026-05-04T01:44:00Z</dcterms:modified>
  <cp:revision>2</cp:revision>
  <dc:subject/>
  <dc:title>臺中健康暨管理學院組織規程</dc:title>
</cp:coreProperties>
</file>